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52AB0" w14:textId="66A73B37" w:rsidR="005D0119" w:rsidRPr="001E6048" w:rsidRDefault="00B61FDF" w:rsidP="00B61FDF">
      <w:pPr>
        <w:spacing w:line="257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Transportation Sales Tax Fund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5625"/>
        <w:gridCol w:w="3735"/>
      </w:tblGrid>
      <w:tr w:rsidR="53D73EE2" w14:paraId="3AB9D607" w14:textId="77777777" w:rsidTr="00F57019">
        <w:trPr>
          <w:trHeight w:val="600"/>
          <w:jc w:val="center"/>
        </w:trPr>
        <w:tc>
          <w:tcPr>
            <w:tcW w:w="562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4D5012FB" w14:textId="14761358" w:rsidR="53D73EE2" w:rsidRPr="009835C6" w:rsidRDefault="53D73EE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Project Name:</w:t>
            </w:r>
          </w:p>
          <w:p w14:paraId="4C94BDE3" w14:textId="422ACDED" w:rsidR="00664F82" w:rsidRPr="009835C6" w:rsidRDefault="000318D9" w:rsidP="009835C6">
            <w:pPr>
              <w:rPr>
                <w:rFonts w:ascii="Arial" w:hAnsi="Arial" w:cs="Arial"/>
              </w:rPr>
            </w:pPr>
            <w:r w:rsidRPr="000318D9">
              <w:rPr>
                <w:rFonts w:ascii="Arial" w:eastAsia="Calibri" w:hAnsi="Arial" w:cs="Arial"/>
                <w:b/>
                <w:bCs/>
                <w:color w:val="FFFFFF" w:themeColor="background1"/>
              </w:rPr>
              <w:t>Annual Residential Sidewalk Replacement Program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6666"/>
            <w:vAlign w:val="center"/>
          </w:tcPr>
          <w:p w14:paraId="38A78BD6" w14:textId="2310716C" w:rsidR="53D73EE2" w:rsidRPr="009835C6" w:rsidRDefault="53D73EE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Department:</w:t>
            </w:r>
          </w:p>
          <w:p w14:paraId="2B556326" w14:textId="62BA1784" w:rsidR="53D73EE2" w:rsidRPr="009835C6" w:rsidRDefault="00664F8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FFFFFF" w:themeColor="background1"/>
              </w:rPr>
              <w:t>Public Works</w:t>
            </w:r>
          </w:p>
        </w:tc>
      </w:tr>
      <w:tr w:rsidR="53D73EE2" w14:paraId="0D92A4ED" w14:textId="77777777" w:rsidTr="00F57019">
        <w:trPr>
          <w:trHeight w:val="615"/>
          <w:jc w:val="center"/>
        </w:trPr>
        <w:tc>
          <w:tcPr>
            <w:tcW w:w="56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7CF3F184" w14:textId="29256C2B" w:rsidR="53D73EE2" w:rsidRPr="009835C6" w:rsidRDefault="53D73EE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Type of Project: </w:t>
            </w:r>
          </w:p>
          <w:p w14:paraId="56CC76CF" w14:textId="023E6E0C" w:rsidR="53D73EE2" w:rsidRPr="009835C6" w:rsidRDefault="002B6DCD" w:rsidP="009835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Rehabilitation / Replacement</w:t>
            </w:r>
          </w:p>
        </w:tc>
        <w:tc>
          <w:tcPr>
            <w:tcW w:w="37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8D08D" w:themeColor="accent6" w:themeTint="99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4E53A1EC" w14:textId="443EF8CB" w:rsidR="53D73EE2" w:rsidRPr="009835C6" w:rsidRDefault="53D73EE2" w:rsidP="009835C6">
            <w:pPr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>Contact</w:t>
            </w:r>
            <w:r w:rsidRPr="009835C6">
              <w:rPr>
                <w:rFonts w:ascii="Arial" w:eastAsia="Calibri" w:hAnsi="Arial" w:cs="Arial"/>
              </w:rPr>
              <w:t>:</w:t>
            </w:r>
          </w:p>
          <w:p w14:paraId="0A6F92A0" w14:textId="24C0467B" w:rsidR="53D73EE2" w:rsidRPr="009835C6" w:rsidRDefault="008650D3" w:rsidP="009835C6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Anthony Glenn</w:t>
            </w:r>
          </w:p>
        </w:tc>
      </w:tr>
      <w:tr w:rsidR="53D73EE2" w14:paraId="068A5664" w14:textId="77777777" w:rsidTr="00F57019">
        <w:trPr>
          <w:trHeight w:val="615"/>
          <w:jc w:val="center"/>
        </w:trPr>
        <w:tc>
          <w:tcPr>
            <w:tcW w:w="936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63B13B" w14:textId="62114212" w:rsidR="53D73EE2" w:rsidRPr="009835C6" w:rsidRDefault="53D73EE2" w:rsidP="00196222">
            <w:pPr>
              <w:jc w:val="right"/>
              <w:rPr>
                <w:rFonts w:ascii="Arial" w:hAnsi="Arial" w:cs="Arial"/>
              </w:rPr>
            </w:pPr>
            <w:r w:rsidRPr="009835C6">
              <w:rPr>
                <w:rFonts w:ascii="Arial" w:eastAsia="Calibri" w:hAnsi="Arial" w:cs="Arial"/>
                <w:b/>
                <w:bCs/>
              </w:rPr>
              <w:t>Total Project Cost:</w:t>
            </w:r>
          </w:p>
          <w:p w14:paraId="0FA65CA2" w14:textId="26B781BF" w:rsidR="53D73EE2" w:rsidRDefault="53D73EE2" w:rsidP="00196222">
            <w:pPr>
              <w:jc w:val="right"/>
            </w:pPr>
            <w:r w:rsidRPr="009835C6">
              <w:rPr>
                <w:rFonts w:ascii="Arial" w:eastAsia="Calibri" w:hAnsi="Arial" w:cs="Arial"/>
                <w:b/>
                <w:bCs/>
              </w:rPr>
              <w:t>$</w:t>
            </w:r>
            <w:r w:rsidR="00BE7120">
              <w:rPr>
                <w:rFonts w:ascii="Arial" w:eastAsia="Calibri" w:hAnsi="Arial" w:cs="Arial"/>
                <w:b/>
                <w:bCs/>
              </w:rPr>
              <w:t>300</w:t>
            </w:r>
            <w:r w:rsidR="00296677">
              <w:rPr>
                <w:rFonts w:ascii="Arial" w:eastAsia="Calibri" w:hAnsi="Arial" w:cs="Arial"/>
                <w:b/>
                <w:bCs/>
              </w:rPr>
              <w:t>,000</w:t>
            </w:r>
          </w:p>
        </w:tc>
      </w:tr>
    </w:tbl>
    <w:p w14:paraId="7E1E49DC" w14:textId="77777777" w:rsidR="001E6048" w:rsidRPr="00BE7120" w:rsidRDefault="001E6048" w:rsidP="53D73EE2">
      <w:pPr>
        <w:spacing w:line="257" w:lineRule="auto"/>
        <w:rPr>
          <w:rFonts w:ascii="Calibri" w:eastAsia="Calibri" w:hAnsi="Calibri" w:cs="Calibri"/>
          <w:b/>
          <w:bCs/>
        </w:rPr>
      </w:pPr>
    </w:p>
    <w:p w14:paraId="6C621DB3" w14:textId="7F9B266E" w:rsidR="005D0119" w:rsidRPr="009835C6" w:rsidRDefault="3ECBD887" w:rsidP="53D73EE2">
      <w:pPr>
        <w:spacing w:line="257" w:lineRule="auto"/>
        <w:rPr>
          <w:rFonts w:ascii="Arial" w:hAnsi="Arial" w:cs="Arial"/>
        </w:rPr>
      </w:pPr>
      <w:r w:rsidRPr="009835C6">
        <w:rPr>
          <w:rFonts w:ascii="Arial" w:eastAsia="Calibri" w:hAnsi="Arial" w:cs="Arial"/>
          <w:b/>
          <w:bCs/>
        </w:rPr>
        <w:t xml:space="preserve">Description:                                                                                                  </w:t>
      </w:r>
    </w:p>
    <w:p w14:paraId="54BC3ECD" w14:textId="47C3B1B0" w:rsidR="00B320FD" w:rsidRDefault="00067642" w:rsidP="002404B3">
      <w:pPr>
        <w:spacing w:line="257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The Sidewalk Improvement Program is an annual </w:t>
      </w:r>
      <w:r w:rsidR="00D94B17">
        <w:rPr>
          <w:rFonts w:ascii="Arial" w:eastAsia="Calibri" w:hAnsi="Arial" w:cs="Arial"/>
        </w:rPr>
        <w:t xml:space="preserve">CIP </w:t>
      </w:r>
      <w:r>
        <w:rPr>
          <w:rFonts w:ascii="Arial" w:eastAsia="Calibri" w:hAnsi="Arial" w:cs="Arial"/>
        </w:rPr>
        <w:t>program</w:t>
      </w:r>
      <w:r w:rsidR="00BB30CB">
        <w:rPr>
          <w:rFonts w:ascii="Arial" w:eastAsia="Calibri" w:hAnsi="Arial" w:cs="Arial"/>
        </w:rPr>
        <w:t xml:space="preserve"> and</w:t>
      </w:r>
      <w:r w:rsidR="007469F4">
        <w:rPr>
          <w:rFonts w:ascii="Arial" w:eastAsia="Calibri" w:hAnsi="Arial" w:cs="Arial"/>
        </w:rPr>
        <w:t xml:space="preserve"> will be a</w:t>
      </w:r>
      <w:r w:rsidRPr="00067642">
        <w:rPr>
          <w:rFonts w:ascii="Arial" w:eastAsia="Calibri" w:hAnsi="Arial" w:cs="Arial"/>
        </w:rPr>
        <w:t xml:space="preserve"> 50/50 cost-shar</w:t>
      </w:r>
      <w:r w:rsidR="00D94B17">
        <w:rPr>
          <w:rFonts w:ascii="Arial" w:eastAsia="Calibri" w:hAnsi="Arial" w:cs="Arial"/>
        </w:rPr>
        <w:t>ing arrangement</w:t>
      </w:r>
      <w:r w:rsidRPr="00067642">
        <w:rPr>
          <w:rFonts w:ascii="Arial" w:eastAsia="Calibri" w:hAnsi="Arial" w:cs="Arial"/>
        </w:rPr>
        <w:t xml:space="preserve"> between the City and property owners. </w:t>
      </w:r>
      <w:r w:rsidR="007469F4">
        <w:rPr>
          <w:rFonts w:ascii="Arial" w:eastAsia="Calibri" w:hAnsi="Arial" w:cs="Arial"/>
        </w:rPr>
        <w:t>S</w:t>
      </w:r>
      <w:r w:rsidRPr="00067642">
        <w:rPr>
          <w:rFonts w:ascii="Arial" w:eastAsia="Calibri" w:hAnsi="Arial" w:cs="Arial"/>
        </w:rPr>
        <w:t xml:space="preserve">taff </w:t>
      </w:r>
      <w:r w:rsidR="00160CF1">
        <w:rPr>
          <w:rFonts w:ascii="Arial" w:eastAsia="Calibri" w:hAnsi="Arial" w:cs="Arial"/>
        </w:rPr>
        <w:t>inspect</w:t>
      </w:r>
      <w:r w:rsidRPr="00067642">
        <w:rPr>
          <w:rFonts w:ascii="Arial" w:eastAsia="Calibri" w:hAnsi="Arial" w:cs="Arial"/>
        </w:rPr>
        <w:t xml:space="preserve"> various residential areas in Smithville </w:t>
      </w:r>
      <w:r w:rsidR="007469F4">
        <w:rPr>
          <w:rFonts w:ascii="Arial" w:eastAsia="Calibri" w:hAnsi="Arial" w:cs="Arial"/>
        </w:rPr>
        <w:t>to</w:t>
      </w:r>
      <w:r w:rsidRPr="00067642">
        <w:rPr>
          <w:rFonts w:ascii="Arial" w:eastAsia="Calibri" w:hAnsi="Arial" w:cs="Arial"/>
        </w:rPr>
        <w:t xml:space="preserve"> determine the area with the </w:t>
      </w:r>
      <w:r w:rsidR="00D94B17">
        <w:rPr>
          <w:rFonts w:ascii="Arial" w:eastAsia="Calibri" w:hAnsi="Arial" w:cs="Arial"/>
        </w:rPr>
        <w:t>greatest</w:t>
      </w:r>
      <w:r w:rsidRPr="00067642">
        <w:rPr>
          <w:rFonts w:ascii="Arial" w:eastAsia="Calibri" w:hAnsi="Arial" w:cs="Arial"/>
        </w:rPr>
        <w:t xml:space="preserve"> </w:t>
      </w:r>
      <w:r w:rsidR="00BB30CB">
        <w:rPr>
          <w:rFonts w:ascii="Arial" w:eastAsia="Calibri" w:hAnsi="Arial" w:cs="Arial"/>
        </w:rPr>
        <w:t>sidewalk</w:t>
      </w:r>
      <w:r w:rsidR="00D94B17">
        <w:rPr>
          <w:rFonts w:ascii="Arial" w:eastAsia="Calibri" w:hAnsi="Arial" w:cs="Arial"/>
        </w:rPr>
        <w:t xml:space="preserve"> replacement and repair</w:t>
      </w:r>
      <w:r w:rsidR="00BB30CB">
        <w:rPr>
          <w:rFonts w:ascii="Arial" w:eastAsia="Calibri" w:hAnsi="Arial" w:cs="Arial"/>
        </w:rPr>
        <w:t xml:space="preserve"> </w:t>
      </w:r>
      <w:r w:rsidRPr="00067642">
        <w:rPr>
          <w:rFonts w:ascii="Arial" w:eastAsia="Calibri" w:hAnsi="Arial" w:cs="Arial"/>
        </w:rPr>
        <w:t xml:space="preserve">need during the specific construction year. </w:t>
      </w:r>
      <w:r w:rsidR="007469F4">
        <w:rPr>
          <w:rFonts w:ascii="Arial" w:eastAsia="Calibri" w:hAnsi="Arial" w:cs="Arial"/>
        </w:rPr>
        <w:t xml:space="preserve"> </w:t>
      </w:r>
      <w:r w:rsidRPr="00067642">
        <w:rPr>
          <w:rFonts w:ascii="Arial" w:eastAsia="Calibri" w:hAnsi="Arial" w:cs="Arial"/>
        </w:rPr>
        <w:t xml:space="preserve">Property owners would be notified of the project if their property is affected and would be able to enroll in the </w:t>
      </w:r>
      <w:r w:rsidR="00D94B17" w:rsidRPr="00067642">
        <w:rPr>
          <w:rFonts w:ascii="Arial" w:eastAsia="Calibri" w:hAnsi="Arial" w:cs="Arial"/>
        </w:rPr>
        <w:t>program</w:t>
      </w:r>
      <w:r w:rsidR="00D94B17">
        <w:rPr>
          <w:rFonts w:ascii="Arial" w:eastAsia="Calibri" w:hAnsi="Arial" w:cs="Arial"/>
        </w:rPr>
        <w:t xml:space="preserve"> or</w:t>
      </w:r>
      <w:r w:rsidRPr="00067642">
        <w:rPr>
          <w:rFonts w:ascii="Arial" w:eastAsia="Calibri" w:hAnsi="Arial" w:cs="Arial"/>
        </w:rPr>
        <w:t xml:space="preserve"> would be required </w:t>
      </w:r>
      <w:r w:rsidR="00D94B17">
        <w:rPr>
          <w:rFonts w:ascii="Arial" w:eastAsia="Calibri" w:hAnsi="Arial" w:cs="Arial"/>
        </w:rPr>
        <w:t xml:space="preserve">by the City </w:t>
      </w:r>
      <w:r w:rsidRPr="00067642">
        <w:rPr>
          <w:rFonts w:ascii="Arial" w:eastAsia="Calibri" w:hAnsi="Arial" w:cs="Arial"/>
        </w:rPr>
        <w:t>to make the improvements</w:t>
      </w:r>
      <w:r w:rsidR="00D94B17">
        <w:rPr>
          <w:rFonts w:ascii="Arial" w:eastAsia="Calibri" w:hAnsi="Arial" w:cs="Arial"/>
        </w:rPr>
        <w:t xml:space="preserve"> by</w:t>
      </w:r>
      <w:r w:rsidRPr="00067642">
        <w:rPr>
          <w:rFonts w:ascii="Arial" w:eastAsia="Calibri" w:hAnsi="Arial" w:cs="Arial"/>
        </w:rPr>
        <w:t xml:space="preserve"> themselves.</w:t>
      </w:r>
      <w:r w:rsidR="007469F4">
        <w:rPr>
          <w:rFonts w:ascii="Arial" w:eastAsia="Calibri" w:hAnsi="Arial" w:cs="Arial"/>
        </w:rPr>
        <w:t xml:space="preserve"> </w:t>
      </w:r>
      <w:r w:rsidRPr="00067642">
        <w:rPr>
          <w:rFonts w:ascii="Arial" w:eastAsia="Calibri" w:hAnsi="Arial" w:cs="Arial"/>
        </w:rPr>
        <w:t xml:space="preserve">Neighborhoods </w:t>
      </w:r>
      <w:r w:rsidR="00D94B17">
        <w:rPr>
          <w:rFonts w:ascii="Arial" w:eastAsia="Calibri" w:hAnsi="Arial" w:cs="Arial"/>
        </w:rPr>
        <w:t>could also enroll in the</w:t>
      </w:r>
      <w:r w:rsidRPr="00067642">
        <w:rPr>
          <w:rFonts w:ascii="Arial" w:eastAsia="Calibri" w:hAnsi="Arial" w:cs="Arial"/>
        </w:rPr>
        <w:t xml:space="preserve"> program </w:t>
      </w:r>
      <w:r w:rsidR="00D94B17">
        <w:rPr>
          <w:rFonts w:ascii="Arial" w:eastAsia="Calibri" w:hAnsi="Arial" w:cs="Arial"/>
        </w:rPr>
        <w:t>with the</w:t>
      </w:r>
      <w:r w:rsidRPr="00067642">
        <w:rPr>
          <w:rFonts w:ascii="Arial" w:eastAsia="Calibri" w:hAnsi="Arial" w:cs="Arial"/>
        </w:rPr>
        <w:t xml:space="preserve"> cost-shar</w:t>
      </w:r>
      <w:r w:rsidR="00D94B17">
        <w:rPr>
          <w:rFonts w:ascii="Arial" w:eastAsia="Calibri" w:hAnsi="Arial" w:cs="Arial"/>
        </w:rPr>
        <w:t>ing arrangement</w:t>
      </w:r>
      <w:r w:rsidRPr="00067642">
        <w:rPr>
          <w:rFonts w:ascii="Arial" w:eastAsia="Calibri" w:hAnsi="Arial" w:cs="Arial"/>
        </w:rPr>
        <w:t xml:space="preserve"> to improve gaps in sidewalk access.</w:t>
      </w:r>
    </w:p>
    <w:p w14:paraId="31D6BBCD" w14:textId="5829C01F" w:rsidR="005D0119" w:rsidRPr="009835C6" w:rsidRDefault="254D4244" w:rsidP="1C83270A">
      <w:pPr>
        <w:spacing w:line="257" w:lineRule="auto"/>
        <w:rPr>
          <w:rFonts w:ascii="Arial" w:eastAsia="Calibri" w:hAnsi="Arial" w:cs="Arial"/>
        </w:rPr>
      </w:pPr>
      <w:r w:rsidRPr="009835C6">
        <w:rPr>
          <w:rFonts w:ascii="Arial" w:eastAsia="Calibri" w:hAnsi="Arial" w:cs="Arial"/>
          <w:b/>
          <w:bCs/>
        </w:rPr>
        <w:t>Justification:</w:t>
      </w:r>
    </w:p>
    <w:p w14:paraId="1D6883BC" w14:textId="4B599FF1" w:rsidR="00296677" w:rsidRDefault="007469F4" w:rsidP="001E6048">
      <w:pPr>
        <w:spacing w:line="257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This is an annual program to help resolve hazardous sidewalk conditions</w:t>
      </w:r>
      <w:r w:rsidR="0022503E">
        <w:rPr>
          <w:rFonts w:ascii="Arial" w:eastAsia="Calibri" w:hAnsi="Arial" w:cs="Arial"/>
        </w:rPr>
        <w:t xml:space="preserve"> (</w:t>
      </w:r>
      <w:r w:rsidR="00CB7FAA">
        <w:rPr>
          <w:rFonts w:ascii="Arial" w:eastAsia="Calibri" w:hAnsi="Arial" w:cs="Arial"/>
        </w:rPr>
        <w:t>which cause pedestrians to</w:t>
      </w:r>
      <w:r w:rsidR="0022503E">
        <w:rPr>
          <w:rFonts w:ascii="Arial" w:eastAsia="Calibri" w:hAnsi="Arial" w:cs="Arial"/>
        </w:rPr>
        <w:t xml:space="preserve"> trip</w:t>
      </w:r>
      <w:r w:rsidR="00CB7FAA">
        <w:rPr>
          <w:rFonts w:ascii="Arial" w:eastAsia="Calibri" w:hAnsi="Arial" w:cs="Arial"/>
        </w:rPr>
        <w:t xml:space="preserve"> or </w:t>
      </w:r>
      <w:r w:rsidR="0022503E">
        <w:rPr>
          <w:rFonts w:ascii="Arial" w:eastAsia="Calibri" w:hAnsi="Arial" w:cs="Arial"/>
        </w:rPr>
        <w:t>fal</w:t>
      </w:r>
      <w:r w:rsidR="00CB7FAA">
        <w:rPr>
          <w:rFonts w:ascii="Arial" w:eastAsia="Calibri" w:hAnsi="Arial" w:cs="Arial"/>
        </w:rPr>
        <w:t>l on the sidewalk</w:t>
      </w:r>
      <w:r w:rsidR="0022503E">
        <w:rPr>
          <w:rFonts w:ascii="Arial" w:eastAsia="Calibri" w:hAnsi="Arial" w:cs="Arial"/>
        </w:rPr>
        <w:t>) and improve sidewalk access (gaps in sidewalk)</w:t>
      </w:r>
      <w:r>
        <w:rPr>
          <w:rFonts w:ascii="Arial" w:eastAsia="Calibri" w:hAnsi="Arial" w:cs="Arial"/>
        </w:rPr>
        <w:t xml:space="preserve"> throughout the City of Smithville. </w:t>
      </w:r>
    </w:p>
    <w:p w14:paraId="3EAD3F45" w14:textId="77777777" w:rsidR="00CD499F" w:rsidRDefault="00CD499F" w:rsidP="00CD499F">
      <w:pPr>
        <w:spacing w:after="0" w:line="257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Impact on Operating Costs:</w:t>
      </w:r>
    </w:p>
    <w:p w14:paraId="1761091E" w14:textId="77777777" w:rsidR="00CD499F" w:rsidRDefault="00CD499F" w:rsidP="00CD499F">
      <w:pPr>
        <w:spacing w:after="0" w:line="257" w:lineRule="auto"/>
        <w:jc w:val="both"/>
        <w:rPr>
          <w:rFonts w:ascii="Arial" w:hAnsi="Arial" w:cs="Arial"/>
        </w:rPr>
      </w:pPr>
    </w:p>
    <w:p w14:paraId="00A78F95" w14:textId="7218E67C" w:rsidR="00CD499F" w:rsidRDefault="00CD499F" w:rsidP="00CD499F">
      <w:pPr>
        <w:spacing w:after="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This is an annual program, so there will be ongoing funding</w:t>
      </w:r>
      <w:r w:rsidR="009923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needs in the future. </w:t>
      </w:r>
    </w:p>
    <w:p w14:paraId="4830BD8B" w14:textId="77777777" w:rsidR="00BE7120" w:rsidRDefault="00BE7120" w:rsidP="00664F82">
      <w:pPr>
        <w:spacing w:line="257" w:lineRule="auto"/>
        <w:rPr>
          <w:rFonts w:ascii="Arial" w:eastAsia="Calibri" w:hAnsi="Arial" w:cs="Arial"/>
          <w:b/>
          <w:bCs/>
        </w:rPr>
      </w:pPr>
    </w:p>
    <w:p w14:paraId="302E3227" w14:textId="3D06C7EE" w:rsidR="005D0119" w:rsidRPr="00EA69A1" w:rsidRDefault="009835C6" w:rsidP="00664F82">
      <w:pPr>
        <w:spacing w:line="257" w:lineRule="auto"/>
        <w:rPr>
          <w:rFonts w:ascii="Arial" w:eastAsia="Calibri" w:hAnsi="Arial" w:cs="Arial"/>
          <w:b/>
          <w:bCs/>
          <w:sz w:val="20"/>
          <w:szCs w:val="20"/>
        </w:rPr>
      </w:pPr>
      <w:r w:rsidRPr="00EA69A1">
        <w:rPr>
          <w:rFonts w:ascii="Arial" w:eastAsia="Calibri" w:hAnsi="Arial" w:cs="Arial"/>
          <w:b/>
          <w:bCs/>
          <w:sz w:val="20"/>
          <w:szCs w:val="20"/>
        </w:rPr>
        <w:t xml:space="preserve">Planned </w:t>
      </w:r>
      <w:r w:rsidR="711E8BA5" w:rsidRPr="00EA69A1">
        <w:rPr>
          <w:rFonts w:ascii="Arial" w:eastAsia="Calibri" w:hAnsi="Arial" w:cs="Arial"/>
          <w:b/>
          <w:bCs/>
          <w:sz w:val="20"/>
          <w:szCs w:val="20"/>
        </w:rPr>
        <w:t>Expenditures</w:t>
      </w:r>
      <w:r w:rsidR="5D075EEF" w:rsidRPr="00EA69A1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85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85"/>
        <w:gridCol w:w="1080"/>
        <w:gridCol w:w="1080"/>
        <w:gridCol w:w="990"/>
        <w:gridCol w:w="1170"/>
        <w:gridCol w:w="1080"/>
        <w:gridCol w:w="1282"/>
      </w:tblGrid>
      <w:tr w:rsidR="00EA69A1" w:rsidRPr="00EA69A1" w14:paraId="3CE62207" w14:textId="77777777" w:rsidTr="000318D9">
        <w:trPr>
          <w:trHeight w:val="474"/>
          <w:jc w:val="center"/>
        </w:trPr>
        <w:tc>
          <w:tcPr>
            <w:tcW w:w="1885" w:type="dxa"/>
            <w:shd w:val="clear" w:color="auto" w:fill="006666"/>
            <w:vAlign w:val="center"/>
          </w:tcPr>
          <w:p w14:paraId="4A436958" w14:textId="7ED0E222" w:rsidR="00F57019" w:rsidRPr="00EA69A1" w:rsidRDefault="00F57019" w:rsidP="00F5701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006666"/>
            <w:vAlign w:val="center"/>
          </w:tcPr>
          <w:p w14:paraId="3711B721" w14:textId="595947FC" w:rsidR="00F57019" w:rsidRPr="00EA69A1" w:rsidRDefault="00F57019" w:rsidP="00F5701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FY2026</w:t>
            </w:r>
          </w:p>
        </w:tc>
        <w:tc>
          <w:tcPr>
            <w:tcW w:w="1080" w:type="dxa"/>
            <w:shd w:val="clear" w:color="auto" w:fill="006666"/>
            <w:vAlign w:val="center"/>
          </w:tcPr>
          <w:p w14:paraId="3A5AC71F" w14:textId="0D66C091" w:rsidR="00F57019" w:rsidRPr="00EA69A1" w:rsidRDefault="00F57019" w:rsidP="00F570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FY2027</w:t>
            </w:r>
          </w:p>
        </w:tc>
        <w:tc>
          <w:tcPr>
            <w:tcW w:w="990" w:type="dxa"/>
            <w:shd w:val="clear" w:color="auto" w:fill="006666"/>
            <w:vAlign w:val="center"/>
          </w:tcPr>
          <w:p w14:paraId="5F683FED" w14:textId="33AEA757" w:rsidR="00F57019" w:rsidRPr="00EA69A1" w:rsidRDefault="00F57019" w:rsidP="00F5701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FY2028</w:t>
            </w:r>
          </w:p>
        </w:tc>
        <w:tc>
          <w:tcPr>
            <w:tcW w:w="1170" w:type="dxa"/>
            <w:shd w:val="clear" w:color="auto" w:fill="006666"/>
            <w:vAlign w:val="center"/>
          </w:tcPr>
          <w:p w14:paraId="396A949A" w14:textId="6AE56E99" w:rsidR="00F57019" w:rsidRPr="00EA69A1" w:rsidRDefault="00F57019" w:rsidP="00F5701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FY2029</w:t>
            </w:r>
          </w:p>
        </w:tc>
        <w:tc>
          <w:tcPr>
            <w:tcW w:w="1080" w:type="dxa"/>
            <w:shd w:val="clear" w:color="auto" w:fill="006666"/>
            <w:vAlign w:val="center"/>
          </w:tcPr>
          <w:p w14:paraId="2748F978" w14:textId="49E45CC5" w:rsidR="00F57019" w:rsidRPr="00EA69A1" w:rsidRDefault="00F57019" w:rsidP="00F5701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FY2030</w:t>
            </w:r>
          </w:p>
        </w:tc>
        <w:tc>
          <w:tcPr>
            <w:tcW w:w="1282" w:type="dxa"/>
            <w:shd w:val="clear" w:color="auto" w:fill="006666"/>
            <w:vAlign w:val="center"/>
          </w:tcPr>
          <w:p w14:paraId="2D24283C" w14:textId="0F9A234D" w:rsidR="00F57019" w:rsidRPr="00EA69A1" w:rsidRDefault="00F57019" w:rsidP="00F570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EA69A1" w:rsidRPr="00EA69A1" w14:paraId="6985E884" w14:textId="77777777" w:rsidTr="000318D9">
        <w:trPr>
          <w:trHeight w:val="416"/>
          <w:jc w:val="center"/>
        </w:trPr>
        <w:tc>
          <w:tcPr>
            <w:tcW w:w="1885" w:type="dxa"/>
            <w:shd w:val="clear" w:color="auto" w:fill="006666"/>
            <w:vAlign w:val="center"/>
          </w:tcPr>
          <w:p w14:paraId="186B8E4B" w14:textId="16D448FC" w:rsidR="00EA69A1" w:rsidRPr="00EA69A1" w:rsidRDefault="00EA69A1" w:rsidP="00EA69A1">
            <w:pPr>
              <w:spacing w:line="257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Construction</w:t>
            </w:r>
          </w:p>
        </w:tc>
        <w:tc>
          <w:tcPr>
            <w:tcW w:w="1080" w:type="dxa"/>
            <w:vAlign w:val="center"/>
          </w:tcPr>
          <w:p w14:paraId="6CAF7CDE" w14:textId="737EE6D1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$100,000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CF0D8F" w14:textId="04FC386E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$60,000</w:t>
            </w:r>
          </w:p>
        </w:tc>
        <w:tc>
          <w:tcPr>
            <w:tcW w:w="990" w:type="dxa"/>
            <w:vAlign w:val="center"/>
          </w:tcPr>
          <w:p w14:paraId="0F68F776" w14:textId="1DC04DB7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$60,000</w:t>
            </w:r>
          </w:p>
        </w:tc>
        <w:tc>
          <w:tcPr>
            <w:tcW w:w="1170" w:type="dxa"/>
            <w:vAlign w:val="center"/>
          </w:tcPr>
          <w:p w14:paraId="14878C04" w14:textId="350C027D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$70,000</w:t>
            </w:r>
          </w:p>
        </w:tc>
        <w:tc>
          <w:tcPr>
            <w:tcW w:w="1080" w:type="dxa"/>
            <w:vAlign w:val="center"/>
          </w:tcPr>
          <w:p w14:paraId="07D018D8" w14:textId="24A9BD8C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$70,000</w:t>
            </w:r>
          </w:p>
        </w:tc>
        <w:tc>
          <w:tcPr>
            <w:tcW w:w="1282" w:type="dxa"/>
            <w:shd w:val="clear" w:color="auto" w:fill="E2EFD9" w:themeFill="accent6" w:themeFillTint="33"/>
            <w:vAlign w:val="center"/>
          </w:tcPr>
          <w:p w14:paraId="0A497E5E" w14:textId="2CEEE005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$300,000</w:t>
            </w:r>
          </w:p>
        </w:tc>
      </w:tr>
    </w:tbl>
    <w:p w14:paraId="143E58D8" w14:textId="77777777" w:rsidR="009764F1" w:rsidRPr="00EA69A1" w:rsidRDefault="3ECBD887" w:rsidP="53D73EE2">
      <w:pPr>
        <w:spacing w:line="257" w:lineRule="auto"/>
        <w:rPr>
          <w:rFonts w:ascii="Calibri" w:eastAsia="Calibri" w:hAnsi="Calibri" w:cs="Calibri"/>
          <w:sz w:val="20"/>
          <w:szCs w:val="20"/>
        </w:rPr>
      </w:pPr>
      <w:r w:rsidRPr="00EA69A1">
        <w:rPr>
          <w:rFonts w:ascii="Calibri" w:eastAsia="Calibri" w:hAnsi="Calibri" w:cs="Calibri"/>
          <w:sz w:val="20"/>
          <w:szCs w:val="20"/>
        </w:rPr>
        <w:t xml:space="preserve"> </w:t>
      </w:r>
    </w:p>
    <w:p w14:paraId="6F66168A" w14:textId="71EF592F" w:rsidR="005D0119" w:rsidRPr="00EA69A1" w:rsidRDefault="3ECBD887" w:rsidP="53D73EE2">
      <w:pPr>
        <w:spacing w:line="257" w:lineRule="auto"/>
        <w:rPr>
          <w:rFonts w:ascii="Arial" w:hAnsi="Arial" w:cs="Arial"/>
          <w:sz w:val="20"/>
          <w:szCs w:val="20"/>
        </w:rPr>
      </w:pPr>
      <w:r w:rsidRPr="00EA69A1">
        <w:rPr>
          <w:rFonts w:ascii="Arial" w:eastAsia="Calibri" w:hAnsi="Arial" w:cs="Arial"/>
          <w:b/>
          <w:bCs/>
          <w:sz w:val="20"/>
          <w:szCs w:val="20"/>
        </w:rPr>
        <w:t>Funding Sources</w:t>
      </w:r>
    </w:p>
    <w:tbl>
      <w:tblPr>
        <w:tblStyle w:val="TableGrid"/>
        <w:tblW w:w="86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95"/>
        <w:gridCol w:w="1070"/>
        <w:gridCol w:w="1080"/>
        <w:gridCol w:w="1080"/>
        <w:gridCol w:w="1080"/>
        <w:gridCol w:w="1080"/>
        <w:gridCol w:w="1350"/>
      </w:tblGrid>
      <w:tr w:rsidR="00121560" w:rsidRPr="00EA69A1" w14:paraId="69FCB878" w14:textId="77777777" w:rsidTr="000318D9">
        <w:trPr>
          <w:trHeight w:val="465"/>
          <w:jc w:val="center"/>
        </w:trPr>
        <w:tc>
          <w:tcPr>
            <w:tcW w:w="1895" w:type="dxa"/>
            <w:shd w:val="clear" w:color="auto" w:fill="006666"/>
            <w:vAlign w:val="center"/>
          </w:tcPr>
          <w:p w14:paraId="5C958BAF" w14:textId="4FD5CD6D" w:rsidR="00F57019" w:rsidRPr="00EA69A1" w:rsidRDefault="00F57019" w:rsidP="00F5701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0" w:type="dxa"/>
            <w:shd w:val="clear" w:color="auto" w:fill="006666"/>
            <w:vAlign w:val="center"/>
          </w:tcPr>
          <w:p w14:paraId="5C466142" w14:textId="1FF753A4" w:rsidR="00F57019" w:rsidRPr="00EA69A1" w:rsidRDefault="00F57019" w:rsidP="00F5701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FY2026</w:t>
            </w:r>
          </w:p>
        </w:tc>
        <w:tc>
          <w:tcPr>
            <w:tcW w:w="1080" w:type="dxa"/>
            <w:shd w:val="clear" w:color="auto" w:fill="006666"/>
            <w:vAlign w:val="center"/>
          </w:tcPr>
          <w:p w14:paraId="128E852B" w14:textId="1E644338" w:rsidR="00F57019" w:rsidRPr="00EA69A1" w:rsidRDefault="00F57019" w:rsidP="00F570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FY2027</w:t>
            </w:r>
          </w:p>
        </w:tc>
        <w:tc>
          <w:tcPr>
            <w:tcW w:w="1080" w:type="dxa"/>
            <w:shd w:val="clear" w:color="auto" w:fill="006666"/>
            <w:vAlign w:val="center"/>
          </w:tcPr>
          <w:p w14:paraId="00976E02" w14:textId="729D3DE4" w:rsidR="00F57019" w:rsidRPr="00EA69A1" w:rsidRDefault="00F57019" w:rsidP="00F5701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FY2028</w:t>
            </w:r>
          </w:p>
        </w:tc>
        <w:tc>
          <w:tcPr>
            <w:tcW w:w="1080" w:type="dxa"/>
            <w:shd w:val="clear" w:color="auto" w:fill="006666"/>
            <w:vAlign w:val="center"/>
          </w:tcPr>
          <w:p w14:paraId="4C63FCB8" w14:textId="0DDD7906" w:rsidR="00F57019" w:rsidRPr="00EA69A1" w:rsidRDefault="00F57019" w:rsidP="00F5701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FY2029</w:t>
            </w:r>
          </w:p>
        </w:tc>
        <w:tc>
          <w:tcPr>
            <w:tcW w:w="1080" w:type="dxa"/>
            <w:shd w:val="clear" w:color="auto" w:fill="006666"/>
            <w:vAlign w:val="center"/>
          </w:tcPr>
          <w:p w14:paraId="32E30F50" w14:textId="22025DD1" w:rsidR="00F57019" w:rsidRPr="00EA69A1" w:rsidRDefault="00F57019" w:rsidP="00F57019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FY2030</w:t>
            </w:r>
          </w:p>
        </w:tc>
        <w:tc>
          <w:tcPr>
            <w:tcW w:w="1350" w:type="dxa"/>
            <w:shd w:val="clear" w:color="auto" w:fill="006666"/>
            <w:vAlign w:val="center"/>
          </w:tcPr>
          <w:p w14:paraId="4BCF47A7" w14:textId="77777777" w:rsidR="00F57019" w:rsidRPr="00EA69A1" w:rsidRDefault="00F57019" w:rsidP="00F570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121560" w:rsidRPr="00EA69A1" w14:paraId="47A2B98B" w14:textId="77777777" w:rsidTr="000318D9">
        <w:trPr>
          <w:trHeight w:val="690"/>
          <w:jc w:val="center"/>
        </w:trPr>
        <w:tc>
          <w:tcPr>
            <w:tcW w:w="1895" w:type="dxa"/>
            <w:shd w:val="clear" w:color="auto" w:fill="006666"/>
            <w:vAlign w:val="center"/>
          </w:tcPr>
          <w:p w14:paraId="04671860" w14:textId="0B611C85" w:rsidR="00EA69A1" w:rsidRPr="00EA69A1" w:rsidRDefault="00EA69A1" w:rsidP="00EA69A1">
            <w:pPr>
              <w:spacing w:line="257" w:lineRule="auto"/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Transportation Sales Tax </w:t>
            </w:r>
          </w:p>
        </w:tc>
        <w:tc>
          <w:tcPr>
            <w:tcW w:w="1070" w:type="dxa"/>
            <w:vAlign w:val="center"/>
          </w:tcPr>
          <w:p w14:paraId="03D6F6B3" w14:textId="79E3B949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$100,000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1ED82C" w14:textId="57B9FFF6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$60,000</w:t>
            </w:r>
          </w:p>
        </w:tc>
        <w:tc>
          <w:tcPr>
            <w:tcW w:w="1080" w:type="dxa"/>
            <w:vAlign w:val="center"/>
          </w:tcPr>
          <w:p w14:paraId="7457B36C" w14:textId="505E17A4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$60,000</w:t>
            </w:r>
          </w:p>
        </w:tc>
        <w:tc>
          <w:tcPr>
            <w:tcW w:w="1080" w:type="dxa"/>
            <w:vAlign w:val="center"/>
          </w:tcPr>
          <w:p w14:paraId="638B3337" w14:textId="4125D261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$70,000</w:t>
            </w:r>
          </w:p>
        </w:tc>
        <w:tc>
          <w:tcPr>
            <w:tcW w:w="1080" w:type="dxa"/>
            <w:vAlign w:val="center"/>
          </w:tcPr>
          <w:p w14:paraId="6E38B4FF" w14:textId="42E9E709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$70,000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108489AF" w14:textId="4919F0D3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$300,000</w:t>
            </w:r>
          </w:p>
        </w:tc>
      </w:tr>
      <w:tr w:rsidR="00121560" w:rsidRPr="00EA69A1" w14:paraId="04921A87" w14:textId="77777777" w:rsidTr="000318D9">
        <w:trPr>
          <w:trHeight w:val="564"/>
          <w:jc w:val="center"/>
        </w:trPr>
        <w:tc>
          <w:tcPr>
            <w:tcW w:w="1895" w:type="dxa"/>
            <w:shd w:val="clear" w:color="auto" w:fill="006666"/>
            <w:vAlign w:val="center"/>
          </w:tcPr>
          <w:p w14:paraId="440CD903" w14:textId="089F144F" w:rsidR="00EA69A1" w:rsidRPr="00EA69A1" w:rsidRDefault="00EA69A1" w:rsidP="00EA69A1">
            <w:pPr>
              <w:spacing w:line="257" w:lineRule="auto"/>
              <w:jc w:val="right"/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A69A1"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  <w:t>Total Net Cost</w:t>
            </w:r>
          </w:p>
        </w:tc>
        <w:tc>
          <w:tcPr>
            <w:tcW w:w="1070" w:type="dxa"/>
            <w:shd w:val="clear" w:color="auto" w:fill="E2EFD9" w:themeFill="accent6" w:themeFillTint="33"/>
            <w:vAlign w:val="center"/>
          </w:tcPr>
          <w:p w14:paraId="3BEE1365" w14:textId="5452857D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$100,000</w:t>
            </w: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376AD239" w14:textId="059709A9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$60,000</w:t>
            </w: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180FA7F5" w14:textId="3B5C61D2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$60,000</w:t>
            </w: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2BAB0DEA" w14:textId="39A29782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$70,000</w:t>
            </w: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5C418E6A" w14:textId="37223BBE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$70,000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5A01727D" w14:textId="18E3D041" w:rsidR="00EA69A1" w:rsidRPr="00EA69A1" w:rsidRDefault="00EA69A1" w:rsidP="00EA69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A1">
              <w:rPr>
                <w:rFonts w:ascii="Arial" w:hAnsi="Arial" w:cs="Arial"/>
                <w:b/>
                <w:bCs/>
                <w:sz w:val="20"/>
                <w:szCs w:val="20"/>
              </w:rPr>
              <w:t>$300,000</w:t>
            </w:r>
          </w:p>
        </w:tc>
      </w:tr>
    </w:tbl>
    <w:p w14:paraId="08FFC34B" w14:textId="77777777" w:rsidR="00296677" w:rsidRDefault="00296677" w:rsidP="00BE7120">
      <w:pPr>
        <w:spacing w:line="257" w:lineRule="auto"/>
        <w:rPr>
          <w:rFonts w:ascii="Arial" w:eastAsia="Calibri" w:hAnsi="Arial" w:cs="Arial"/>
          <w:b/>
          <w:bCs/>
        </w:rPr>
      </w:pPr>
    </w:p>
    <w:sectPr w:rsidR="00296677" w:rsidSect="00EA69A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EF728" w14:textId="77777777" w:rsidR="005C661A" w:rsidRDefault="005C661A" w:rsidP="005E2127">
      <w:pPr>
        <w:spacing w:after="0" w:line="240" w:lineRule="auto"/>
      </w:pPr>
      <w:r>
        <w:separator/>
      </w:r>
    </w:p>
  </w:endnote>
  <w:endnote w:type="continuationSeparator" w:id="0">
    <w:p w14:paraId="01F18CDF" w14:textId="77777777" w:rsidR="005C661A" w:rsidRDefault="005C661A" w:rsidP="005E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C91B7" w14:textId="77777777" w:rsidR="005C661A" w:rsidRDefault="005C661A" w:rsidP="005E2127">
      <w:pPr>
        <w:spacing w:after="0" w:line="240" w:lineRule="auto"/>
      </w:pPr>
      <w:r>
        <w:separator/>
      </w:r>
    </w:p>
  </w:footnote>
  <w:footnote w:type="continuationSeparator" w:id="0">
    <w:p w14:paraId="3FF49B7A" w14:textId="77777777" w:rsidR="005C661A" w:rsidRDefault="005C661A" w:rsidP="005E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BA7C" w14:textId="788736D8" w:rsidR="005E2127" w:rsidRDefault="005E2127" w:rsidP="005E212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FFE9E" wp14:editId="3094FF98">
          <wp:simplePos x="0" y="0"/>
          <wp:positionH relativeFrom="margin">
            <wp:posOffset>3467816</wp:posOffset>
          </wp:positionH>
          <wp:positionV relativeFrom="paragraph">
            <wp:posOffset>-161925</wp:posOffset>
          </wp:positionV>
          <wp:extent cx="2447925" cy="44717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41"/>
                  <a:stretch/>
                </pic:blipFill>
                <pic:spPr bwMode="auto">
                  <a:xfrm>
                    <a:off x="0" y="0"/>
                    <a:ext cx="2447925" cy="44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96EF1E"/>
    <w:rsid w:val="00006934"/>
    <w:rsid w:val="00017C80"/>
    <w:rsid w:val="000318D9"/>
    <w:rsid w:val="00054856"/>
    <w:rsid w:val="00067642"/>
    <w:rsid w:val="000D1DBC"/>
    <w:rsid w:val="00121560"/>
    <w:rsid w:val="001368F9"/>
    <w:rsid w:val="001506C8"/>
    <w:rsid w:val="00160CF1"/>
    <w:rsid w:val="00196222"/>
    <w:rsid w:val="001E6048"/>
    <w:rsid w:val="001F2506"/>
    <w:rsid w:val="00200C25"/>
    <w:rsid w:val="0022503E"/>
    <w:rsid w:val="002404B3"/>
    <w:rsid w:val="002574F3"/>
    <w:rsid w:val="0026460E"/>
    <w:rsid w:val="00296677"/>
    <w:rsid w:val="002B6DCD"/>
    <w:rsid w:val="002E1D1D"/>
    <w:rsid w:val="00333AC1"/>
    <w:rsid w:val="003E6E83"/>
    <w:rsid w:val="00481375"/>
    <w:rsid w:val="004A6226"/>
    <w:rsid w:val="004B69A5"/>
    <w:rsid w:val="004D2127"/>
    <w:rsid w:val="004E0D94"/>
    <w:rsid w:val="004E58F0"/>
    <w:rsid w:val="00581B13"/>
    <w:rsid w:val="005C661A"/>
    <w:rsid w:val="005D0119"/>
    <w:rsid w:val="005E19B0"/>
    <w:rsid w:val="005E2127"/>
    <w:rsid w:val="00604F6F"/>
    <w:rsid w:val="00664F82"/>
    <w:rsid w:val="00680F69"/>
    <w:rsid w:val="0069557C"/>
    <w:rsid w:val="006E5DE5"/>
    <w:rsid w:val="00727984"/>
    <w:rsid w:val="007469F4"/>
    <w:rsid w:val="00756F2D"/>
    <w:rsid w:val="007D2B62"/>
    <w:rsid w:val="008650D3"/>
    <w:rsid w:val="008D7C36"/>
    <w:rsid w:val="009076A2"/>
    <w:rsid w:val="009764F1"/>
    <w:rsid w:val="009835C6"/>
    <w:rsid w:val="009859B4"/>
    <w:rsid w:val="00992334"/>
    <w:rsid w:val="009A6688"/>
    <w:rsid w:val="00A2330A"/>
    <w:rsid w:val="00A43215"/>
    <w:rsid w:val="00A7512C"/>
    <w:rsid w:val="00A757D2"/>
    <w:rsid w:val="00AA7949"/>
    <w:rsid w:val="00AE6431"/>
    <w:rsid w:val="00B10CB3"/>
    <w:rsid w:val="00B320FD"/>
    <w:rsid w:val="00B61FDF"/>
    <w:rsid w:val="00BB30CB"/>
    <w:rsid w:val="00BD50E7"/>
    <w:rsid w:val="00BE7120"/>
    <w:rsid w:val="00C10388"/>
    <w:rsid w:val="00C379EF"/>
    <w:rsid w:val="00CA622E"/>
    <w:rsid w:val="00CB7FAA"/>
    <w:rsid w:val="00CD499F"/>
    <w:rsid w:val="00D51098"/>
    <w:rsid w:val="00D548AD"/>
    <w:rsid w:val="00D94B17"/>
    <w:rsid w:val="00E016C7"/>
    <w:rsid w:val="00E23C7E"/>
    <w:rsid w:val="00E80C2E"/>
    <w:rsid w:val="00EA69A1"/>
    <w:rsid w:val="00F57019"/>
    <w:rsid w:val="00F82067"/>
    <w:rsid w:val="00F96E1D"/>
    <w:rsid w:val="0852DED3"/>
    <w:rsid w:val="1366FCEB"/>
    <w:rsid w:val="188ECF08"/>
    <w:rsid w:val="1C83270A"/>
    <w:rsid w:val="2174AFDF"/>
    <w:rsid w:val="254D4244"/>
    <w:rsid w:val="2B4C265A"/>
    <w:rsid w:val="3DAB1F17"/>
    <w:rsid w:val="3ECBD887"/>
    <w:rsid w:val="4EE7B738"/>
    <w:rsid w:val="53D73EE2"/>
    <w:rsid w:val="59E2ACAD"/>
    <w:rsid w:val="5B78CFD5"/>
    <w:rsid w:val="5D075EEF"/>
    <w:rsid w:val="6596EF1E"/>
    <w:rsid w:val="6E5565E5"/>
    <w:rsid w:val="711E8BA5"/>
    <w:rsid w:val="74BF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EF1E"/>
  <w15:chartTrackingRefBased/>
  <w15:docId w15:val="{F66C4A3B-5468-461F-A735-CE222EBC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27"/>
  </w:style>
  <w:style w:type="paragraph" w:styleId="Footer">
    <w:name w:val="footer"/>
    <w:basedOn w:val="Normal"/>
    <w:link w:val="FooterChar"/>
    <w:uiPriority w:val="99"/>
    <w:unhideWhenUsed/>
    <w:rsid w:val="005E2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B4B1C7FA43243AA9A32EF043F35C4" ma:contentTypeVersion="4" ma:contentTypeDescription="Create a new document." ma:contentTypeScope="" ma:versionID="4a21b7ea083673e73a3020b58e2cfb3d">
  <xsd:schema xmlns:xsd="http://www.w3.org/2001/XMLSchema" xmlns:xs="http://www.w3.org/2001/XMLSchema" xmlns:p="http://schemas.microsoft.com/office/2006/metadata/properties" xmlns:ns2="771359cf-c993-42c2-94bb-1252d93f5afd" targetNamespace="http://schemas.microsoft.com/office/2006/metadata/properties" ma:root="true" ma:fieldsID="9e5cbe83acfc7af7e551414c5794ca93" ns2:_="">
    <xsd:import namespace="771359cf-c993-42c2-94bb-1252d93f5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359cf-c993-42c2-94bb-1252d93f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7A99F9-BBA9-4079-A2D4-DCF31F64E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72A749-C5AD-4B0B-90E9-06900015C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359cf-c993-42c2-94bb-1252d93f5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B58CC-26AA-42FB-96CD-24FFC4C6F9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Ore</dc:creator>
  <cp:keywords/>
  <dc:description/>
  <cp:lastModifiedBy>Madelynne Call</cp:lastModifiedBy>
  <cp:revision>50</cp:revision>
  <cp:lastPrinted>2025-02-24T14:21:00Z</cp:lastPrinted>
  <dcterms:created xsi:type="dcterms:W3CDTF">2021-12-10T20:37:00Z</dcterms:created>
  <dcterms:modified xsi:type="dcterms:W3CDTF">2025-09-17T17:03:00Z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0x010100086B4B1C7FA43243AA9A32EF043F35C4</vt:lpwstr>
  </property>
</Properties>
</file>